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237E" w14:textId="41A08F74" w:rsidR="006B5E87" w:rsidRPr="006B5E87" w:rsidRDefault="006B5E87" w:rsidP="006B5E87">
      <w:pPr>
        <w:tabs>
          <w:tab w:val="clear" w:pos="8640"/>
        </w:tabs>
        <w:jc w:val="left"/>
        <w:rPr>
          <w:rFonts w:ascii="Arial" w:eastAsia="Calibri" w:hAnsi="Arial" w:cs="Arial"/>
          <w:b/>
          <w:bCs/>
          <w:spacing w:val="0"/>
          <w:szCs w:val="24"/>
          <w:lang w:val="en-GB"/>
        </w:rPr>
      </w:pPr>
      <w:r w:rsidRPr="006B5E87">
        <w:rPr>
          <w:rFonts w:ascii="Arial" w:eastAsia="Calibri" w:hAnsi="Arial" w:cs="Arial"/>
          <w:b/>
          <w:bCs/>
          <w:spacing w:val="0"/>
          <w:szCs w:val="24"/>
          <w:lang w:val="en-GB"/>
        </w:rPr>
        <w:t>Allotments</w:t>
      </w:r>
    </w:p>
    <w:p w14:paraId="2E344D92" w14:textId="77777777" w:rsidR="006B5E87" w:rsidRDefault="006B5E87" w:rsidP="006B5E87">
      <w:pPr>
        <w:tabs>
          <w:tab w:val="clear" w:pos="8640"/>
        </w:tabs>
        <w:jc w:val="left"/>
        <w:rPr>
          <w:rFonts w:ascii="Arial" w:eastAsia="Calibri" w:hAnsi="Arial" w:cs="Arial"/>
          <w:spacing w:val="0"/>
          <w:szCs w:val="24"/>
          <w:lang w:val="en-GB"/>
        </w:rPr>
      </w:pPr>
    </w:p>
    <w:p w14:paraId="3290707F" w14:textId="77777777"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 xml:space="preserve">The origin of the allotment movement in Chinnor lies within the second allotment movement which started nationally in </w:t>
      </w:r>
      <w:proofErr w:type="gramStart"/>
      <w:r w:rsidRPr="0069054F">
        <w:rPr>
          <w:rFonts w:ascii="Arial" w:eastAsia="Calibri" w:hAnsi="Arial" w:cs="Arial"/>
          <w:spacing w:val="0"/>
          <w:szCs w:val="24"/>
          <w:lang w:val="en-GB"/>
        </w:rPr>
        <w:t>1830, but</w:t>
      </w:r>
      <w:proofErr w:type="gramEnd"/>
      <w:r w:rsidRPr="0069054F">
        <w:rPr>
          <w:rFonts w:ascii="Arial" w:eastAsia="Calibri" w:hAnsi="Arial" w:cs="Arial"/>
          <w:spacing w:val="0"/>
          <w:szCs w:val="24"/>
          <w:lang w:val="en-GB"/>
        </w:rPr>
        <w:t xml:space="preserve"> has sustained its influence on Chinnor’s nutrition and health until the present day. </w:t>
      </w:r>
    </w:p>
    <w:p w14:paraId="154B0C42" w14:textId="77777777" w:rsidR="006B5E87" w:rsidRDefault="006B5E87" w:rsidP="006B5E87">
      <w:pPr>
        <w:tabs>
          <w:tab w:val="clear" w:pos="8640"/>
        </w:tabs>
        <w:jc w:val="left"/>
        <w:rPr>
          <w:rFonts w:ascii="Arial" w:eastAsia="Calibri" w:hAnsi="Arial" w:cs="Arial"/>
          <w:spacing w:val="0"/>
          <w:szCs w:val="24"/>
          <w:lang w:val="en-GB"/>
        </w:rPr>
      </w:pPr>
    </w:p>
    <w:p w14:paraId="2A8CB1EB" w14:textId="77777777" w:rsidR="006B5E87" w:rsidRDefault="006B5E87" w:rsidP="006B5E87">
      <w:pPr>
        <w:tabs>
          <w:tab w:val="clear" w:pos="8640"/>
        </w:tabs>
        <w:jc w:val="left"/>
        <w:rPr>
          <w:rFonts w:ascii="Arial" w:eastAsia="Calibri" w:hAnsi="Arial" w:cs="Arial"/>
          <w:spacing w:val="0"/>
          <w:szCs w:val="24"/>
          <w:lang w:val="en-GB"/>
        </w:rPr>
      </w:pPr>
      <w:r>
        <w:rPr>
          <w:rFonts w:ascii="Arial" w:eastAsia="Calibri" w:hAnsi="Arial" w:cs="Arial"/>
          <w:spacing w:val="0"/>
          <w:szCs w:val="24"/>
          <w:lang w:val="en-GB"/>
        </w:rPr>
        <w:t>J</w:t>
      </w:r>
      <w:r w:rsidRPr="0069054F">
        <w:rPr>
          <w:rFonts w:ascii="Arial" w:eastAsia="Calibri" w:hAnsi="Arial" w:cs="Arial"/>
          <w:spacing w:val="0"/>
          <w:szCs w:val="24"/>
          <w:lang w:val="en-GB"/>
        </w:rPr>
        <w:t xml:space="preserve">eremy </w:t>
      </w:r>
      <w:proofErr w:type="spellStart"/>
      <w:r w:rsidRPr="0069054F">
        <w:rPr>
          <w:rFonts w:ascii="Arial" w:eastAsia="Calibri" w:hAnsi="Arial" w:cs="Arial"/>
          <w:spacing w:val="0"/>
          <w:szCs w:val="24"/>
          <w:lang w:val="en-GB"/>
        </w:rPr>
        <w:t>Burchardt</w:t>
      </w:r>
      <w:proofErr w:type="spellEnd"/>
      <w:r w:rsidRPr="0069054F">
        <w:rPr>
          <w:rFonts w:ascii="Arial" w:eastAsia="Calibri" w:hAnsi="Arial" w:cs="Arial"/>
          <w:spacing w:val="0"/>
          <w:szCs w:val="24"/>
          <w:lang w:val="en-GB"/>
        </w:rPr>
        <w:t xml:space="preserve"> has suggested that allotment produce provided a greater contribution to living standards, and by implication, health, than previously appreciated, whilst Ashby suggested a figure of 20-25 % of the diet of many families was directly supplied by the garden or garden allotment.</w:t>
      </w:r>
      <w:r w:rsidRPr="0069054F">
        <w:rPr>
          <w:rFonts w:ascii="Arial" w:eastAsia="Calibri" w:hAnsi="Arial" w:cs="Arial"/>
          <w:spacing w:val="0"/>
          <w:szCs w:val="24"/>
          <w:vertAlign w:val="superscript"/>
          <w:lang w:val="en-GB"/>
        </w:rPr>
        <w:footnoteReference w:id="1"/>
      </w:r>
      <w:r w:rsidRPr="0069054F">
        <w:rPr>
          <w:rFonts w:ascii="Arial" w:eastAsia="Calibri" w:hAnsi="Arial" w:cs="Arial"/>
          <w:spacing w:val="0"/>
          <w:szCs w:val="24"/>
          <w:lang w:val="en-GB"/>
        </w:rPr>
        <w:t xml:space="preserve">  </w:t>
      </w:r>
    </w:p>
    <w:p w14:paraId="71D96A72" w14:textId="77777777" w:rsidR="006B5E87" w:rsidRDefault="006B5E87" w:rsidP="006B5E87">
      <w:pPr>
        <w:tabs>
          <w:tab w:val="clear" w:pos="8640"/>
        </w:tabs>
        <w:jc w:val="left"/>
        <w:rPr>
          <w:rFonts w:ascii="Arial" w:eastAsia="Calibri" w:hAnsi="Arial" w:cs="Arial"/>
          <w:spacing w:val="0"/>
          <w:szCs w:val="24"/>
          <w:lang w:val="en-GB"/>
        </w:rPr>
      </w:pPr>
    </w:p>
    <w:p w14:paraId="71BB2BFB" w14:textId="77777777"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The Chinnor allotments</w:t>
      </w:r>
      <w:r>
        <w:rPr>
          <w:rFonts w:ascii="Arial" w:eastAsia="Calibri" w:hAnsi="Arial" w:cs="Arial"/>
          <w:spacing w:val="0"/>
          <w:szCs w:val="24"/>
          <w:lang w:val="en-GB"/>
        </w:rPr>
        <w:t xml:space="preserve"> played a </w:t>
      </w:r>
      <w:r w:rsidRPr="0069054F">
        <w:rPr>
          <w:rFonts w:ascii="Arial" w:eastAsia="Calibri" w:hAnsi="Arial" w:cs="Arial"/>
          <w:spacing w:val="0"/>
          <w:szCs w:val="24"/>
          <w:lang w:val="en-GB"/>
        </w:rPr>
        <w:t>vital role in World War ll</w:t>
      </w:r>
      <w:r>
        <w:rPr>
          <w:rFonts w:ascii="Arial" w:eastAsia="Calibri" w:hAnsi="Arial" w:cs="Arial"/>
          <w:spacing w:val="0"/>
          <w:szCs w:val="24"/>
          <w:lang w:val="en-GB"/>
        </w:rPr>
        <w:t>.</w:t>
      </w:r>
      <w:r w:rsidRPr="0069054F">
        <w:rPr>
          <w:rFonts w:ascii="Arial" w:eastAsia="Calibri" w:hAnsi="Arial" w:cs="Arial"/>
          <w:spacing w:val="0"/>
          <w:szCs w:val="24"/>
          <w:lang w:val="en-GB"/>
        </w:rPr>
        <w:t xml:space="preserve"> In 1854 an enclosure award was made for the ‘labouring poor of Chinnor’. They were referred to as the ‘labouring poor’ because, although they were employed, their economic level was still </w:t>
      </w:r>
      <w:proofErr w:type="gramStart"/>
      <w:r w:rsidRPr="0069054F">
        <w:rPr>
          <w:rFonts w:ascii="Arial" w:eastAsia="Calibri" w:hAnsi="Arial" w:cs="Arial"/>
          <w:spacing w:val="0"/>
          <w:szCs w:val="24"/>
          <w:lang w:val="en-GB"/>
        </w:rPr>
        <w:t>very low</w:t>
      </w:r>
      <w:proofErr w:type="gramEnd"/>
      <w:r w:rsidRPr="0069054F">
        <w:rPr>
          <w:rFonts w:ascii="Arial" w:eastAsia="Calibri" w:hAnsi="Arial" w:cs="Arial"/>
          <w:spacing w:val="0"/>
          <w:szCs w:val="24"/>
          <w:lang w:val="en-GB"/>
        </w:rPr>
        <w:t xml:space="preserve">. </w:t>
      </w:r>
    </w:p>
    <w:p w14:paraId="0DC2E7B0" w14:textId="77777777" w:rsidR="006B5E87" w:rsidRDefault="006B5E87" w:rsidP="006B5E87">
      <w:pPr>
        <w:tabs>
          <w:tab w:val="clear" w:pos="8640"/>
        </w:tabs>
        <w:jc w:val="left"/>
        <w:rPr>
          <w:rFonts w:ascii="Arial" w:eastAsia="Calibri" w:hAnsi="Arial" w:cs="Arial"/>
          <w:spacing w:val="0"/>
          <w:szCs w:val="24"/>
          <w:lang w:val="en-GB"/>
        </w:rPr>
      </w:pPr>
    </w:p>
    <w:p w14:paraId="1D6824F2" w14:textId="349330C6" w:rsidR="006B5E87" w:rsidRPr="0069054F"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 xml:space="preserve">Nine acres of land were allocated by the Enclosure Commissioners to be managed by the Church Wardens and Overseers of the Poor. This responsibility was later taken over by the Parish Council in 1917. The land is owned by the people of </w:t>
      </w:r>
      <w:proofErr w:type="gramStart"/>
      <w:r w:rsidRPr="0069054F">
        <w:rPr>
          <w:rFonts w:ascii="Arial" w:eastAsia="Calibri" w:hAnsi="Arial" w:cs="Arial"/>
          <w:spacing w:val="0"/>
          <w:szCs w:val="24"/>
          <w:lang w:val="en-GB"/>
        </w:rPr>
        <w:t>Chinnor</w:t>
      </w:r>
      <w:proofErr w:type="gramEnd"/>
      <w:r w:rsidRPr="0069054F">
        <w:rPr>
          <w:rFonts w:ascii="Arial" w:eastAsia="Calibri" w:hAnsi="Arial" w:cs="Arial"/>
          <w:spacing w:val="0"/>
          <w:szCs w:val="24"/>
          <w:lang w:val="en-GB"/>
        </w:rPr>
        <w:t xml:space="preserve"> and the term rent refers to the cost of upkeep of the plots. Under the </w:t>
      </w:r>
      <w:r w:rsidRPr="0069054F">
        <w:rPr>
          <w:rFonts w:ascii="Arial" w:eastAsia="Calibri" w:hAnsi="Arial" w:cs="Arial"/>
          <w:i/>
          <w:spacing w:val="0"/>
          <w:szCs w:val="24"/>
          <w:lang w:val="en-GB"/>
        </w:rPr>
        <w:t>Land Settlement Facilities Act,</w:t>
      </w:r>
      <w:r w:rsidRPr="0069054F">
        <w:rPr>
          <w:rFonts w:ascii="Arial" w:eastAsia="Calibri" w:hAnsi="Arial" w:cs="Arial"/>
          <w:spacing w:val="0"/>
          <w:szCs w:val="24"/>
          <w:lang w:val="en-GB"/>
        </w:rPr>
        <w:t xml:space="preserve"> </w:t>
      </w:r>
      <w:r w:rsidRPr="0069054F">
        <w:rPr>
          <w:rFonts w:ascii="Arial" w:eastAsia="Calibri" w:hAnsi="Arial" w:cs="Arial"/>
          <w:i/>
          <w:iCs/>
          <w:spacing w:val="0"/>
          <w:szCs w:val="24"/>
          <w:lang w:val="en-GB"/>
        </w:rPr>
        <w:t>1919</w:t>
      </w:r>
      <w:r w:rsidRPr="0069054F">
        <w:rPr>
          <w:rFonts w:ascii="Arial" w:eastAsia="Calibri" w:hAnsi="Arial" w:cs="Arial"/>
          <w:spacing w:val="0"/>
          <w:szCs w:val="24"/>
          <w:lang w:val="en-GB"/>
        </w:rPr>
        <w:t xml:space="preserve"> the land became ‘open to all.’ The rent charged was calculated by the value of wheat, barley and oats which could have been grown annually on the site before it was allocated.  </w:t>
      </w:r>
    </w:p>
    <w:p w14:paraId="3F5E2398" w14:textId="77777777" w:rsidR="006B5E87" w:rsidRPr="0069054F" w:rsidRDefault="006B5E87" w:rsidP="006B5E87">
      <w:pPr>
        <w:tabs>
          <w:tab w:val="clear" w:pos="8640"/>
        </w:tabs>
        <w:jc w:val="left"/>
        <w:rPr>
          <w:rFonts w:ascii="Arial" w:eastAsia="Calibri" w:hAnsi="Arial" w:cs="Arial"/>
          <w:spacing w:val="0"/>
          <w:szCs w:val="24"/>
          <w:lang w:val="en-GB"/>
        </w:rPr>
      </w:pPr>
    </w:p>
    <w:p w14:paraId="1988433B" w14:textId="093EF08E"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 xml:space="preserve">From the names in the rent book and the complexity of Chinnor’s kinship network, it was difficult to assess how many families rented an allotment. For example, in in the first year 1898, there were listed 6 Hopkins, 6 </w:t>
      </w:r>
      <w:proofErr w:type="spellStart"/>
      <w:r w:rsidRPr="0069054F">
        <w:rPr>
          <w:rFonts w:ascii="Arial" w:eastAsia="Calibri" w:hAnsi="Arial" w:cs="Arial"/>
          <w:spacing w:val="0"/>
          <w:szCs w:val="24"/>
          <w:lang w:val="en-GB"/>
        </w:rPr>
        <w:t>Howletts</w:t>
      </w:r>
      <w:proofErr w:type="spellEnd"/>
      <w:r w:rsidRPr="0069054F">
        <w:rPr>
          <w:rFonts w:ascii="Arial" w:eastAsia="Calibri" w:hAnsi="Arial" w:cs="Arial"/>
          <w:spacing w:val="0"/>
          <w:szCs w:val="24"/>
          <w:lang w:val="en-GB"/>
        </w:rPr>
        <w:t xml:space="preserve">, 7 Rogers, 10 </w:t>
      </w:r>
      <w:proofErr w:type="spellStart"/>
      <w:r w:rsidRPr="0069054F">
        <w:rPr>
          <w:rFonts w:ascii="Arial" w:eastAsia="Calibri" w:hAnsi="Arial" w:cs="Arial"/>
          <w:spacing w:val="0"/>
          <w:szCs w:val="24"/>
          <w:lang w:val="en-GB"/>
        </w:rPr>
        <w:t>Seymours</w:t>
      </w:r>
      <w:proofErr w:type="spellEnd"/>
      <w:r w:rsidRPr="0069054F">
        <w:rPr>
          <w:rFonts w:ascii="Arial" w:eastAsia="Calibri" w:hAnsi="Arial" w:cs="Arial"/>
          <w:spacing w:val="0"/>
          <w:szCs w:val="24"/>
          <w:lang w:val="en-GB"/>
        </w:rPr>
        <w:t>, 4 Turners and 7 Witneys. Without a copy of the rules on how many plots could be allocated to one person or household in Chinnor it was difficult to determine the proportion of households who rented the plots, but from the census figures it could have been as high as one third of households.</w:t>
      </w:r>
      <w:r w:rsidRPr="0069054F">
        <w:rPr>
          <w:rFonts w:ascii="Arial" w:eastAsia="Calibri" w:hAnsi="Arial" w:cs="Arial"/>
          <w:spacing w:val="0"/>
          <w:szCs w:val="24"/>
          <w:vertAlign w:val="superscript"/>
          <w:lang w:val="en-GB"/>
        </w:rPr>
        <w:footnoteReference w:id="2"/>
      </w:r>
      <w:r w:rsidRPr="0069054F">
        <w:rPr>
          <w:rFonts w:ascii="Arial" w:eastAsia="Calibri" w:hAnsi="Arial" w:cs="Arial"/>
          <w:spacing w:val="0"/>
          <w:szCs w:val="24"/>
          <w:lang w:val="en-GB"/>
        </w:rPr>
        <w:t xml:space="preserve">  </w:t>
      </w:r>
      <w:proofErr w:type="spellStart"/>
      <w:r w:rsidRPr="0069054F">
        <w:rPr>
          <w:rFonts w:ascii="Arial" w:eastAsia="Calibri" w:hAnsi="Arial" w:cs="Arial"/>
          <w:spacing w:val="0"/>
          <w:szCs w:val="24"/>
          <w:lang w:val="en-GB"/>
        </w:rPr>
        <w:t>Burchardt</w:t>
      </w:r>
      <w:proofErr w:type="spellEnd"/>
      <w:r w:rsidRPr="0069054F">
        <w:rPr>
          <w:rFonts w:ascii="Arial" w:eastAsia="Calibri" w:hAnsi="Arial" w:cs="Arial"/>
          <w:spacing w:val="0"/>
          <w:szCs w:val="24"/>
          <w:lang w:val="en-GB"/>
        </w:rPr>
        <w:t xml:space="preserve"> gave the figure for the number of male agricultural workers in Oxfordshire aged ten and over per allotment in 1873 as 2.1.</w:t>
      </w:r>
      <w:r w:rsidRPr="0069054F">
        <w:rPr>
          <w:rFonts w:ascii="Arial" w:eastAsia="Calibri" w:hAnsi="Arial" w:cs="Arial"/>
          <w:spacing w:val="0"/>
          <w:szCs w:val="24"/>
          <w:vertAlign w:val="superscript"/>
          <w:lang w:val="en-GB"/>
        </w:rPr>
        <w:footnoteReference w:id="3"/>
      </w:r>
    </w:p>
    <w:p w14:paraId="4E9F321B" w14:textId="77777777" w:rsidR="006B5E87" w:rsidRPr="0069054F" w:rsidRDefault="006B5E87" w:rsidP="006B5E87">
      <w:pPr>
        <w:tabs>
          <w:tab w:val="clear" w:pos="8640"/>
        </w:tabs>
        <w:jc w:val="left"/>
        <w:rPr>
          <w:rFonts w:ascii="Arial" w:eastAsia="Calibri" w:hAnsi="Arial" w:cs="Arial"/>
          <w:spacing w:val="0"/>
          <w:szCs w:val="24"/>
          <w:lang w:val="en-GB"/>
        </w:rPr>
      </w:pPr>
    </w:p>
    <w:p w14:paraId="1B87ED14" w14:textId="7AFDFA30" w:rsidR="006B5E87" w:rsidRPr="0069054F"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 xml:space="preserve">During the period 88 </w:t>
      </w:r>
      <w:r>
        <w:rPr>
          <w:rFonts w:ascii="Arial" w:eastAsia="Calibri" w:hAnsi="Arial" w:cs="Arial"/>
          <w:spacing w:val="0"/>
          <w:szCs w:val="24"/>
          <w:lang w:val="en-GB"/>
        </w:rPr>
        <w:t>–</w:t>
      </w:r>
      <w:r w:rsidRPr="0069054F">
        <w:rPr>
          <w:rFonts w:ascii="Arial" w:eastAsia="Calibri" w:hAnsi="Arial" w:cs="Arial"/>
          <w:spacing w:val="0"/>
          <w:szCs w:val="24"/>
          <w:lang w:val="en-GB"/>
        </w:rPr>
        <w:t xml:space="preserve"> 98</w:t>
      </w:r>
      <w:r>
        <w:rPr>
          <w:rFonts w:ascii="Arial" w:eastAsia="Calibri" w:hAnsi="Arial" w:cs="Arial"/>
          <w:spacing w:val="0"/>
          <w:szCs w:val="24"/>
          <w:lang w:val="en-GB"/>
        </w:rPr>
        <w:t xml:space="preserve"> a</w:t>
      </w:r>
      <w:r w:rsidRPr="0069054F">
        <w:rPr>
          <w:rFonts w:ascii="Arial" w:eastAsia="Calibri" w:hAnsi="Arial" w:cs="Arial"/>
          <w:spacing w:val="0"/>
          <w:szCs w:val="24"/>
          <w:lang w:val="en-GB"/>
        </w:rPr>
        <w:t xml:space="preserve"> review </w:t>
      </w:r>
      <w:r>
        <w:rPr>
          <w:rFonts w:ascii="Arial" w:eastAsia="Calibri" w:hAnsi="Arial" w:cs="Arial"/>
          <w:spacing w:val="0"/>
          <w:szCs w:val="24"/>
          <w:lang w:val="en-GB"/>
        </w:rPr>
        <w:t xml:space="preserve">of </w:t>
      </w:r>
      <w:r w:rsidRPr="0069054F">
        <w:rPr>
          <w:rFonts w:ascii="Arial" w:eastAsia="Calibri" w:hAnsi="Arial" w:cs="Arial"/>
          <w:spacing w:val="0"/>
          <w:szCs w:val="24"/>
          <w:lang w:val="en-GB"/>
        </w:rPr>
        <w:t xml:space="preserve">the number of plots in Chinnor </w:t>
      </w:r>
      <w:proofErr w:type="gramStart"/>
      <w:r w:rsidRPr="0069054F">
        <w:rPr>
          <w:rFonts w:ascii="Arial" w:eastAsia="Calibri" w:hAnsi="Arial" w:cs="Arial"/>
          <w:spacing w:val="0"/>
          <w:szCs w:val="24"/>
          <w:lang w:val="en-GB"/>
        </w:rPr>
        <w:t>varied</w:t>
      </w:r>
      <w:proofErr w:type="gramEnd"/>
      <w:r w:rsidRPr="0069054F">
        <w:rPr>
          <w:rFonts w:ascii="Arial" w:eastAsia="Calibri" w:hAnsi="Arial" w:cs="Arial"/>
          <w:spacing w:val="0"/>
          <w:szCs w:val="24"/>
          <w:lang w:val="en-GB"/>
        </w:rPr>
        <w:t xml:space="preserve"> </w:t>
      </w:r>
    </w:p>
    <w:p w14:paraId="489EC60C" w14:textId="77777777" w:rsidR="006B5E87" w:rsidRPr="0069054F" w:rsidRDefault="006B5E87" w:rsidP="006B5E87">
      <w:pPr>
        <w:tabs>
          <w:tab w:val="clear" w:pos="8640"/>
        </w:tabs>
        <w:jc w:val="left"/>
        <w:rPr>
          <w:rFonts w:ascii="Arial" w:eastAsia="Calibri" w:hAnsi="Arial" w:cs="Arial"/>
          <w:spacing w:val="0"/>
          <w:szCs w:val="24"/>
          <w:lang w:val="en-GB"/>
        </w:rPr>
      </w:pPr>
    </w:p>
    <w:p w14:paraId="0E209387" w14:textId="77777777" w:rsidR="006B5E87" w:rsidRPr="0069054F" w:rsidRDefault="006B5E87" w:rsidP="006B5E87">
      <w:pPr>
        <w:pStyle w:val="Thesis-Figure"/>
        <w:spacing w:after="0" w:line="240" w:lineRule="auto"/>
      </w:pPr>
      <w:bookmarkStart w:id="0" w:name="_Toc13837922"/>
      <w:r>
        <w:t xml:space="preserve">Table 1. </w:t>
      </w:r>
      <w:r w:rsidRPr="0069054F">
        <w:t>Number of Allotment Plots</w:t>
      </w:r>
      <w:bookmarkEnd w:id="0"/>
      <w:r w:rsidRPr="0069054F">
        <w:t>, Chinnor 1900-1931.</w:t>
      </w:r>
    </w:p>
    <w:tbl>
      <w:tblPr>
        <w:tblStyle w:val="TableGrid"/>
        <w:tblW w:w="0" w:type="auto"/>
        <w:tblInd w:w="675" w:type="dxa"/>
        <w:tblLook w:val="04A0" w:firstRow="1" w:lastRow="0" w:firstColumn="1" w:lastColumn="0" w:noHBand="0" w:noVBand="1"/>
      </w:tblPr>
      <w:tblGrid>
        <w:gridCol w:w="2362"/>
        <w:gridCol w:w="2363"/>
        <w:gridCol w:w="2363"/>
      </w:tblGrid>
      <w:tr w:rsidR="006B5E87" w:rsidRPr="0069054F" w14:paraId="70C63F03" w14:textId="77777777" w:rsidTr="00E8161E">
        <w:trPr>
          <w:trHeight w:val="340"/>
        </w:trPr>
        <w:tc>
          <w:tcPr>
            <w:tcW w:w="2362" w:type="dxa"/>
          </w:tcPr>
          <w:p w14:paraId="12C85B5E" w14:textId="77777777" w:rsidR="006B5E87" w:rsidRPr="0069054F" w:rsidRDefault="006B5E87" w:rsidP="006B5E87">
            <w:pPr>
              <w:pStyle w:val="Thesis-Table"/>
              <w:spacing w:line="240" w:lineRule="auto"/>
              <w:ind w:firstLine="0"/>
              <w:rPr>
                <w:b/>
                <w:bCs/>
              </w:rPr>
            </w:pPr>
          </w:p>
        </w:tc>
        <w:tc>
          <w:tcPr>
            <w:tcW w:w="2363" w:type="dxa"/>
          </w:tcPr>
          <w:p w14:paraId="2B65D6E7" w14:textId="77777777" w:rsidR="006B5E87" w:rsidRPr="0069054F" w:rsidRDefault="006B5E87" w:rsidP="006B5E87">
            <w:pPr>
              <w:pStyle w:val="Thesis-Table"/>
              <w:spacing w:line="240" w:lineRule="auto"/>
              <w:ind w:firstLine="0"/>
              <w:rPr>
                <w:b/>
                <w:bCs/>
              </w:rPr>
            </w:pPr>
            <w:r w:rsidRPr="0069054F">
              <w:rPr>
                <w:b/>
                <w:bCs/>
              </w:rPr>
              <w:t>Plots</w:t>
            </w:r>
          </w:p>
        </w:tc>
        <w:tc>
          <w:tcPr>
            <w:tcW w:w="2363" w:type="dxa"/>
          </w:tcPr>
          <w:p w14:paraId="7CF226C5" w14:textId="77777777" w:rsidR="006B5E87" w:rsidRPr="0069054F" w:rsidRDefault="006B5E87" w:rsidP="006B5E87">
            <w:pPr>
              <w:pStyle w:val="Thesis-Table"/>
              <w:spacing w:line="240" w:lineRule="auto"/>
              <w:ind w:firstLine="0"/>
              <w:rPr>
                <w:b/>
                <w:bCs/>
              </w:rPr>
            </w:pPr>
            <w:r w:rsidRPr="0069054F">
              <w:rPr>
                <w:b/>
                <w:bCs/>
              </w:rPr>
              <w:t>Households</w:t>
            </w:r>
          </w:p>
        </w:tc>
      </w:tr>
      <w:tr w:rsidR="006B5E87" w:rsidRPr="0069054F" w14:paraId="19E90215" w14:textId="77777777" w:rsidTr="00E8161E">
        <w:trPr>
          <w:trHeight w:val="340"/>
        </w:trPr>
        <w:tc>
          <w:tcPr>
            <w:tcW w:w="2362" w:type="dxa"/>
          </w:tcPr>
          <w:p w14:paraId="006C4237" w14:textId="77777777" w:rsidR="006B5E87" w:rsidRPr="0069054F" w:rsidRDefault="006B5E87" w:rsidP="006B5E87">
            <w:pPr>
              <w:pStyle w:val="Thesis-Table"/>
              <w:spacing w:line="240" w:lineRule="auto"/>
              <w:ind w:firstLine="0"/>
            </w:pPr>
            <w:r w:rsidRPr="0069054F">
              <w:t>1900</w:t>
            </w:r>
          </w:p>
        </w:tc>
        <w:tc>
          <w:tcPr>
            <w:tcW w:w="2363" w:type="dxa"/>
          </w:tcPr>
          <w:p w14:paraId="5434EFA7" w14:textId="77777777" w:rsidR="006B5E87" w:rsidRPr="0069054F" w:rsidRDefault="006B5E87" w:rsidP="006B5E87">
            <w:pPr>
              <w:pStyle w:val="Thesis-Table"/>
              <w:spacing w:line="240" w:lineRule="auto"/>
              <w:ind w:firstLine="0"/>
            </w:pPr>
            <w:r w:rsidRPr="0069054F">
              <w:t>95</w:t>
            </w:r>
          </w:p>
        </w:tc>
        <w:tc>
          <w:tcPr>
            <w:tcW w:w="2363" w:type="dxa"/>
          </w:tcPr>
          <w:p w14:paraId="0DDAB1F0" w14:textId="77777777" w:rsidR="006B5E87" w:rsidRPr="0069054F" w:rsidRDefault="006B5E87" w:rsidP="006B5E87">
            <w:pPr>
              <w:pStyle w:val="Thesis-Table"/>
              <w:spacing w:line="240" w:lineRule="auto"/>
              <w:ind w:firstLine="0"/>
            </w:pPr>
            <w:r w:rsidRPr="0069054F">
              <w:t>264</w:t>
            </w:r>
          </w:p>
        </w:tc>
      </w:tr>
      <w:tr w:rsidR="006B5E87" w:rsidRPr="0069054F" w14:paraId="56C0D6C7" w14:textId="77777777" w:rsidTr="00E8161E">
        <w:trPr>
          <w:trHeight w:val="340"/>
        </w:trPr>
        <w:tc>
          <w:tcPr>
            <w:tcW w:w="2362" w:type="dxa"/>
          </w:tcPr>
          <w:p w14:paraId="1B019475" w14:textId="77777777" w:rsidR="006B5E87" w:rsidRPr="0069054F" w:rsidRDefault="006B5E87" w:rsidP="006B5E87">
            <w:pPr>
              <w:pStyle w:val="Thesis-Table"/>
              <w:spacing w:line="240" w:lineRule="auto"/>
              <w:ind w:firstLine="0"/>
            </w:pPr>
            <w:r w:rsidRPr="0069054F">
              <w:t>1921</w:t>
            </w:r>
          </w:p>
        </w:tc>
        <w:tc>
          <w:tcPr>
            <w:tcW w:w="2363" w:type="dxa"/>
          </w:tcPr>
          <w:p w14:paraId="26A90228" w14:textId="77777777" w:rsidR="006B5E87" w:rsidRPr="0069054F" w:rsidRDefault="006B5E87" w:rsidP="006B5E87">
            <w:pPr>
              <w:pStyle w:val="Thesis-Table"/>
              <w:spacing w:line="240" w:lineRule="auto"/>
              <w:ind w:firstLine="0"/>
            </w:pPr>
            <w:r w:rsidRPr="0069054F">
              <w:t>89</w:t>
            </w:r>
          </w:p>
        </w:tc>
        <w:tc>
          <w:tcPr>
            <w:tcW w:w="2363" w:type="dxa"/>
          </w:tcPr>
          <w:p w14:paraId="3CC46E1B" w14:textId="77777777" w:rsidR="006B5E87" w:rsidRPr="0069054F" w:rsidRDefault="006B5E87" w:rsidP="006B5E87">
            <w:pPr>
              <w:pStyle w:val="Thesis-Table"/>
              <w:spacing w:line="240" w:lineRule="auto"/>
              <w:ind w:firstLine="0"/>
            </w:pPr>
            <w:r w:rsidRPr="0069054F">
              <w:t>270</w:t>
            </w:r>
          </w:p>
        </w:tc>
      </w:tr>
      <w:tr w:rsidR="006B5E87" w:rsidRPr="0069054F" w14:paraId="3510BC50" w14:textId="77777777" w:rsidTr="00E8161E">
        <w:trPr>
          <w:trHeight w:val="340"/>
        </w:trPr>
        <w:tc>
          <w:tcPr>
            <w:tcW w:w="2362" w:type="dxa"/>
          </w:tcPr>
          <w:p w14:paraId="3EFC6962" w14:textId="77777777" w:rsidR="006B5E87" w:rsidRPr="0069054F" w:rsidRDefault="006B5E87" w:rsidP="006B5E87">
            <w:pPr>
              <w:pStyle w:val="Thesis-Table"/>
              <w:spacing w:line="240" w:lineRule="auto"/>
              <w:ind w:firstLine="0"/>
            </w:pPr>
            <w:r w:rsidRPr="0069054F">
              <w:t>1931</w:t>
            </w:r>
          </w:p>
        </w:tc>
        <w:tc>
          <w:tcPr>
            <w:tcW w:w="2363" w:type="dxa"/>
          </w:tcPr>
          <w:p w14:paraId="7463AD50" w14:textId="77777777" w:rsidR="006B5E87" w:rsidRPr="0069054F" w:rsidRDefault="006B5E87" w:rsidP="006B5E87">
            <w:pPr>
              <w:pStyle w:val="Thesis-Table"/>
              <w:spacing w:line="240" w:lineRule="auto"/>
              <w:ind w:firstLine="0"/>
            </w:pPr>
            <w:r w:rsidRPr="0069054F">
              <w:t>98</w:t>
            </w:r>
          </w:p>
        </w:tc>
        <w:tc>
          <w:tcPr>
            <w:tcW w:w="2363" w:type="dxa"/>
          </w:tcPr>
          <w:p w14:paraId="2EFCD8AA" w14:textId="77777777" w:rsidR="006B5E87" w:rsidRPr="0069054F" w:rsidRDefault="006B5E87" w:rsidP="006B5E87">
            <w:pPr>
              <w:pStyle w:val="Thesis-Table"/>
              <w:spacing w:line="240" w:lineRule="auto"/>
              <w:ind w:firstLine="0"/>
            </w:pPr>
            <w:r w:rsidRPr="0069054F">
              <w:t>339</w:t>
            </w:r>
          </w:p>
        </w:tc>
      </w:tr>
    </w:tbl>
    <w:p w14:paraId="5E1518A3" w14:textId="77777777" w:rsidR="006B5E87" w:rsidRPr="0069054F" w:rsidRDefault="006B5E87" w:rsidP="006B5E87">
      <w:pPr>
        <w:tabs>
          <w:tab w:val="clear" w:pos="8640"/>
        </w:tabs>
        <w:rPr>
          <w:rFonts w:ascii="Arial" w:eastAsia="Calibri" w:hAnsi="Arial" w:cs="Arial"/>
          <w:spacing w:val="0"/>
          <w:szCs w:val="24"/>
          <w:lang w:val="en-GB"/>
        </w:rPr>
      </w:pPr>
      <w:r w:rsidRPr="0069054F">
        <w:rPr>
          <w:rFonts w:ascii="Arial" w:eastAsia="Calibri" w:hAnsi="Arial" w:cs="Arial"/>
          <w:spacing w:val="0"/>
          <w:szCs w:val="24"/>
          <w:lang w:val="en-GB"/>
        </w:rPr>
        <w:t>Source: Chinnor Allotment Society Records</w:t>
      </w:r>
      <w:r>
        <w:rPr>
          <w:rFonts w:ascii="Arial" w:eastAsia="Calibri" w:hAnsi="Arial" w:cs="Arial"/>
          <w:spacing w:val="0"/>
          <w:szCs w:val="24"/>
          <w:lang w:val="en-GB"/>
        </w:rPr>
        <w:t>.</w:t>
      </w:r>
    </w:p>
    <w:p w14:paraId="0A4F15CF" w14:textId="77777777"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lastRenderedPageBreak/>
        <w:t>Rents were initially, 4s. 6d. for 18 poles and 2s 3d. for nine poles.</w:t>
      </w:r>
      <w:r w:rsidRPr="0069054F">
        <w:rPr>
          <w:rFonts w:ascii="Arial" w:eastAsia="Calibri" w:hAnsi="Arial" w:cs="Arial"/>
          <w:spacing w:val="0"/>
          <w:szCs w:val="24"/>
          <w:vertAlign w:val="superscript"/>
          <w:lang w:val="en-GB"/>
        </w:rPr>
        <w:footnoteReference w:id="4"/>
      </w:r>
      <w:r w:rsidRPr="0069054F">
        <w:rPr>
          <w:rFonts w:ascii="Arial" w:eastAsia="Calibri" w:hAnsi="Arial" w:cs="Arial"/>
          <w:spacing w:val="0"/>
          <w:szCs w:val="24"/>
          <w:lang w:val="en-GB"/>
        </w:rPr>
        <w:t xml:space="preserve"> The rent was increased in 1920 to 5s 10d. for 18 poles and 2s 11d. for nine poles. </w:t>
      </w:r>
    </w:p>
    <w:p w14:paraId="1C391BCD" w14:textId="77777777" w:rsidR="006B5E87" w:rsidRDefault="006B5E87" w:rsidP="006B5E87">
      <w:pPr>
        <w:tabs>
          <w:tab w:val="clear" w:pos="8640"/>
        </w:tabs>
        <w:jc w:val="left"/>
        <w:rPr>
          <w:rFonts w:ascii="Arial" w:eastAsia="Calibri" w:hAnsi="Arial" w:cs="Arial"/>
          <w:spacing w:val="0"/>
          <w:szCs w:val="24"/>
          <w:lang w:val="en-GB"/>
        </w:rPr>
      </w:pPr>
    </w:p>
    <w:p w14:paraId="61D51700" w14:textId="77777777"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 xml:space="preserve">After the First World War many returning service men could not afford the </w:t>
      </w:r>
      <w:proofErr w:type="gramStart"/>
      <w:r w:rsidRPr="0069054F">
        <w:rPr>
          <w:rFonts w:ascii="Arial" w:eastAsia="Calibri" w:hAnsi="Arial" w:cs="Arial"/>
          <w:spacing w:val="0"/>
          <w:szCs w:val="24"/>
          <w:lang w:val="en-GB"/>
        </w:rPr>
        <w:t>rents</w:t>
      </w:r>
      <w:proofErr w:type="gramEnd"/>
      <w:r w:rsidRPr="0069054F">
        <w:rPr>
          <w:rFonts w:ascii="Arial" w:eastAsia="Calibri" w:hAnsi="Arial" w:cs="Arial"/>
          <w:spacing w:val="0"/>
          <w:szCs w:val="24"/>
          <w:lang w:val="en-GB"/>
        </w:rPr>
        <w:t xml:space="preserve"> so the 1927 War Memorial Committee waived the allotment ground rent charge to help Chinnor men who returned from the Great War. </w:t>
      </w:r>
    </w:p>
    <w:p w14:paraId="25434C28" w14:textId="77777777" w:rsidR="006B5E87" w:rsidRDefault="006B5E87" w:rsidP="006B5E87">
      <w:pPr>
        <w:tabs>
          <w:tab w:val="clear" w:pos="8640"/>
        </w:tabs>
        <w:jc w:val="left"/>
        <w:rPr>
          <w:rFonts w:ascii="Arial" w:eastAsia="Calibri" w:hAnsi="Arial" w:cs="Arial"/>
          <w:spacing w:val="0"/>
          <w:szCs w:val="24"/>
          <w:lang w:val="en-GB"/>
        </w:rPr>
      </w:pPr>
    </w:p>
    <w:p w14:paraId="5C8CB084" w14:textId="77777777" w:rsidR="006B5E87"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Rules governing the cultivation of the allotments included owners not being allowed to work from 8 am to 6 pm to avoid interfering with their farm labouring work and not during the Sunday service, planting being done on Good Friday. Primary crops were root vegetables. The value of a potato crop is highlighted in a garden manual which states that in many allotments 50% of the crop was potatoes.</w:t>
      </w:r>
      <w:r w:rsidRPr="0069054F">
        <w:rPr>
          <w:rFonts w:ascii="Arial" w:eastAsia="Calibri" w:hAnsi="Arial" w:cs="Arial"/>
          <w:spacing w:val="0"/>
          <w:szCs w:val="24"/>
          <w:vertAlign w:val="superscript"/>
          <w:lang w:val="en-GB"/>
        </w:rPr>
        <w:footnoteReference w:id="5"/>
      </w:r>
      <w:r w:rsidRPr="0069054F">
        <w:rPr>
          <w:rFonts w:ascii="Arial" w:eastAsia="Calibri" w:hAnsi="Arial" w:cs="Arial"/>
          <w:spacing w:val="0"/>
          <w:szCs w:val="24"/>
          <w:lang w:val="en-GB"/>
        </w:rPr>
        <w:t xml:space="preserve">  </w:t>
      </w:r>
    </w:p>
    <w:p w14:paraId="2AB8B7B9" w14:textId="77777777" w:rsidR="006B5E87" w:rsidRDefault="006B5E87" w:rsidP="006B5E87">
      <w:pPr>
        <w:tabs>
          <w:tab w:val="clear" w:pos="8640"/>
        </w:tabs>
        <w:jc w:val="left"/>
        <w:rPr>
          <w:rFonts w:ascii="Arial" w:eastAsia="Calibri" w:hAnsi="Arial" w:cs="Arial"/>
          <w:spacing w:val="0"/>
          <w:szCs w:val="24"/>
          <w:lang w:val="en-GB"/>
        </w:rPr>
      </w:pPr>
    </w:p>
    <w:p w14:paraId="6A5EFB4E" w14:textId="7514CF40" w:rsidR="006B5E87" w:rsidRPr="0069054F" w:rsidRDefault="006B5E87" w:rsidP="006B5E87">
      <w:pPr>
        <w:tabs>
          <w:tab w:val="clear" w:pos="8640"/>
        </w:tabs>
        <w:jc w:val="left"/>
        <w:rPr>
          <w:rFonts w:ascii="Arial" w:eastAsia="Calibri" w:hAnsi="Arial" w:cs="Arial"/>
          <w:spacing w:val="0"/>
          <w:szCs w:val="24"/>
          <w:lang w:val="en-GB"/>
        </w:rPr>
      </w:pPr>
      <w:r w:rsidRPr="0069054F">
        <w:rPr>
          <w:rFonts w:ascii="Arial" w:eastAsia="Calibri" w:hAnsi="Arial" w:cs="Arial"/>
          <w:spacing w:val="0"/>
          <w:szCs w:val="24"/>
          <w:lang w:val="en-GB"/>
        </w:rPr>
        <w:t>In 1919 nationally, allotment holders produced 350,000 green vegetables, 43,000 tons of onions 23,000 tons of beans and 750,000 tons of potatoes.</w:t>
      </w:r>
      <w:r w:rsidRPr="0069054F">
        <w:rPr>
          <w:rFonts w:ascii="Arial" w:eastAsia="Calibri" w:hAnsi="Arial" w:cs="Arial"/>
          <w:spacing w:val="0"/>
          <w:szCs w:val="24"/>
          <w:vertAlign w:val="superscript"/>
          <w:lang w:val="en-GB"/>
        </w:rPr>
        <w:footnoteReference w:id="6"/>
      </w:r>
      <w:r w:rsidRPr="0069054F">
        <w:rPr>
          <w:rFonts w:ascii="Arial" w:eastAsia="Calibri" w:hAnsi="Arial" w:cs="Arial"/>
          <w:spacing w:val="0"/>
          <w:szCs w:val="24"/>
          <w:lang w:val="en-GB"/>
        </w:rPr>
        <w:t xml:space="preserve"> From 1910 Chinnor hosted an annual flower and produce show which showcased flowers vegetables, eggs and honey as well as hosting a number of lively non-agricultural events and competitions</w:t>
      </w:r>
      <w:r>
        <w:rPr>
          <w:rFonts w:ascii="Arial" w:eastAsia="Calibri" w:hAnsi="Arial" w:cs="Arial"/>
          <w:spacing w:val="0"/>
          <w:szCs w:val="24"/>
          <w:lang w:val="en-GB"/>
        </w:rPr>
        <w:t xml:space="preserve"> and continues to this day.</w:t>
      </w:r>
    </w:p>
    <w:p w14:paraId="0B7E038C" w14:textId="77777777" w:rsidR="00537551" w:rsidRDefault="00537551" w:rsidP="006B5E87"/>
    <w:sectPr w:rsidR="00537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82044" w14:textId="77777777" w:rsidR="00660E06" w:rsidRDefault="00660E06" w:rsidP="006B5E87">
      <w:r>
        <w:separator/>
      </w:r>
    </w:p>
  </w:endnote>
  <w:endnote w:type="continuationSeparator" w:id="0">
    <w:p w14:paraId="40867581" w14:textId="77777777" w:rsidR="00660E06" w:rsidRDefault="00660E06" w:rsidP="006B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BD0C3" w14:textId="77777777" w:rsidR="00660E06" w:rsidRDefault="00660E06" w:rsidP="006B5E87">
      <w:r>
        <w:separator/>
      </w:r>
    </w:p>
  </w:footnote>
  <w:footnote w:type="continuationSeparator" w:id="0">
    <w:p w14:paraId="5D630EA9" w14:textId="77777777" w:rsidR="00660E06" w:rsidRDefault="00660E06" w:rsidP="006B5E87">
      <w:r>
        <w:continuationSeparator/>
      </w:r>
    </w:p>
  </w:footnote>
  <w:footnote w:id="1">
    <w:p w14:paraId="58DBD439" w14:textId="77777777" w:rsidR="006B5E87" w:rsidRDefault="006B5E87" w:rsidP="006B5E87">
      <w:pPr>
        <w:pStyle w:val="Thesis-ReferenceFootnote"/>
      </w:pPr>
      <w:r w:rsidRPr="00E4692C">
        <w:rPr>
          <w:rStyle w:val="FootnoteReference"/>
        </w:rPr>
        <w:footnoteRef/>
      </w:r>
      <w:r w:rsidRPr="00E4692C">
        <w:t xml:space="preserve"> </w:t>
      </w:r>
      <w:proofErr w:type="spellStart"/>
      <w:r w:rsidRPr="00E4692C">
        <w:t>Burchardt</w:t>
      </w:r>
      <w:proofErr w:type="spellEnd"/>
      <w:r w:rsidRPr="00E4692C">
        <w:t>,</w:t>
      </w:r>
      <w:r w:rsidRPr="00E4692C">
        <w:rPr>
          <w:i/>
        </w:rPr>
        <w:t xml:space="preserve"> Allotment Movement</w:t>
      </w:r>
      <w:r>
        <w:rPr>
          <w:i/>
        </w:rPr>
        <w:t>,</w:t>
      </w:r>
      <w:r w:rsidRPr="00E4692C">
        <w:t xml:space="preserve"> p. 4</w:t>
      </w:r>
      <w:r>
        <w:t>,</w:t>
      </w:r>
      <w:r w:rsidRPr="00E4692C">
        <w:t xml:space="preserve"> Ashby, </w:t>
      </w:r>
      <w:r w:rsidRPr="00E4692C">
        <w:rPr>
          <w:i/>
        </w:rPr>
        <w:t>Allotments</w:t>
      </w:r>
      <w:r w:rsidRPr="00E4692C">
        <w:t>, p. 61.</w:t>
      </w:r>
    </w:p>
  </w:footnote>
  <w:footnote w:id="2">
    <w:p w14:paraId="04697656" w14:textId="77777777" w:rsidR="006B5E87" w:rsidRPr="00E4692C" w:rsidRDefault="006B5E87" w:rsidP="006B5E87">
      <w:pPr>
        <w:pStyle w:val="Thesis-ReferenceFootnote"/>
      </w:pPr>
      <w:r w:rsidRPr="00E4692C">
        <w:rPr>
          <w:rStyle w:val="FootnoteReference"/>
        </w:rPr>
        <w:footnoteRef/>
      </w:r>
      <w:r w:rsidRPr="00E4692C">
        <w:t xml:space="preserve"> Ashby,</w:t>
      </w:r>
      <w:r w:rsidRPr="00E4692C">
        <w:rPr>
          <w:i/>
        </w:rPr>
        <w:t xml:space="preserve"> Allotments:</w:t>
      </w:r>
      <w:r w:rsidRPr="00E4692C">
        <w:t xml:space="preserve"> p. 261 gives a list of the most frequent rules pertaining to renting an allotment. The same heavy moral tone associated with the feudal system (also noted in the Reading Room rules) could include: ‘</w:t>
      </w:r>
      <w:r w:rsidRPr="00E4692C">
        <w:rPr>
          <w:i/>
        </w:rPr>
        <w:t>no drunkenness, no swearing, compulsory church and school attendance</w:t>
      </w:r>
      <w:r w:rsidRPr="00E4692C">
        <w:t>.’ However, Ashby, contends that rules ‘</w:t>
      </w:r>
      <w:r w:rsidRPr="00E4692C">
        <w:rPr>
          <w:i/>
        </w:rPr>
        <w:t>became obsolete and were not often adhered to very closely</w:t>
      </w:r>
      <w:r>
        <w:rPr>
          <w:i/>
        </w:rPr>
        <w:t>’</w:t>
      </w:r>
      <w:r w:rsidRPr="00E4692C">
        <w:t>.</w:t>
      </w:r>
    </w:p>
  </w:footnote>
  <w:footnote w:id="3">
    <w:p w14:paraId="5CED7CBC" w14:textId="77777777" w:rsidR="006B5E87" w:rsidRDefault="006B5E87" w:rsidP="006B5E87">
      <w:pPr>
        <w:pStyle w:val="Thesis-ReferenceFootnote"/>
      </w:pPr>
      <w:r w:rsidRPr="00E4692C">
        <w:rPr>
          <w:rStyle w:val="FootnoteReference"/>
        </w:rPr>
        <w:footnoteRef/>
      </w:r>
      <w:r w:rsidRPr="00E4692C">
        <w:t xml:space="preserve"> </w:t>
      </w:r>
      <w:r w:rsidRPr="00E4692C">
        <w:rPr>
          <w:i/>
        </w:rPr>
        <w:t xml:space="preserve"> </w:t>
      </w:r>
      <w:proofErr w:type="spellStart"/>
      <w:r>
        <w:t>Burchardt</w:t>
      </w:r>
      <w:proofErr w:type="spellEnd"/>
      <w:r w:rsidRPr="00E4692C">
        <w:t xml:space="preserve">, </w:t>
      </w:r>
      <w:r w:rsidRPr="00A764AD">
        <w:rPr>
          <w:i/>
          <w:iCs/>
        </w:rPr>
        <w:t>Allotment,</w:t>
      </w:r>
      <w:r>
        <w:t xml:space="preserve"> </w:t>
      </w:r>
      <w:r w:rsidRPr="00E4692C">
        <w:t>p. 18</w:t>
      </w:r>
      <w:r>
        <w:t>1</w:t>
      </w:r>
      <w:r w:rsidRPr="00E4692C">
        <w:t>.</w:t>
      </w:r>
    </w:p>
  </w:footnote>
  <w:footnote w:id="4">
    <w:p w14:paraId="1DD71AAE" w14:textId="77777777" w:rsidR="006B5E87" w:rsidRPr="007538BA" w:rsidRDefault="006B5E87" w:rsidP="006B5E87">
      <w:pPr>
        <w:pStyle w:val="Thesis-ReferenceFootnote"/>
      </w:pPr>
      <w:r w:rsidRPr="00416BC0">
        <w:rPr>
          <w:rStyle w:val="FootnoteReference"/>
        </w:rPr>
        <w:footnoteRef/>
      </w:r>
      <w:r w:rsidRPr="00416BC0">
        <w:t xml:space="preserve"> 5</w:t>
      </w:r>
      <w:r w:rsidRPr="00416BC0">
        <w:rPr>
          <w:vertAlign w:val="superscript"/>
        </w:rPr>
        <w:t xml:space="preserve">1/2 </w:t>
      </w:r>
      <w:r w:rsidRPr="00416BC0">
        <w:t xml:space="preserve">yards = 1 perch, </w:t>
      </w:r>
      <w:proofErr w:type="gramStart"/>
      <w:r w:rsidRPr="00416BC0">
        <w:t>pole</w:t>
      </w:r>
      <w:proofErr w:type="gramEnd"/>
      <w:r w:rsidRPr="00416BC0">
        <w:t xml:space="preserve"> or rod, (the distance from the back of the plough to the horse’s nose)</w:t>
      </w:r>
      <w:r>
        <w:t>,</w:t>
      </w:r>
      <w:r w:rsidRPr="00416BC0">
        <w:t xml:space="preserve"> 4 poles (22 yards) = 1 chain</w:t>
      </w:r>
      <w:r>
        <w:t>,</w:t>
      </w:r>
      <w:r w:rsidRPr="00416BC0">
        <w:t xml:space="preserve"> 10 chains or 40 poles =I furlong (the distance which could be ploughed by one ox without a rest), 8 furlongs = 1 mile. 1 acre, the area that could be ploughed by a team of eight oxen in one day. (Officially, 1, furlong x 4 poles)</w:t>
      </w:r>
      <w:r>
        <w:t>.</w:t>
      </w:r>
    </w:p>
  </w:footnote>
  <w:footnote w:id="5">
    <w:p w14:paraId="60274BA4" w14:textId="77777777" w:rsidR="006B5E87" w:rsidRPr="00E4692C" w:rsidRDefault="006B5E87" w:rsidP="006B5E87">
      <w:pPr>
        <w:pStyle w:val="Thesis-ReferenceFootnote"/>
      </w:pPr>
      <w:r w:rsidRPr="00E4692C">
        <w:rPr>
          <w:rStyle w:val="FootnoteReference"/>
        </w:rPr>
        <w:footnoteRef/>
      </w:r>
      <w:bookmarkStart w:id="1" w:name="_Hlk534294065"/>
      <w:r w:rsidRPr="00E4692C">
        <w:t xml:space="preserve"> Walter Wright</w:t>
      </w:r>
      <w:r>
        <w:t>,</w:t>
      </w:r>
      <w:r w:rsidRPr="00E4692C">
        <w:t xml:space="preserve"> (ed)</w:t>
      </w:r>
      <w:r w:rsidRPr="00E4692C">
        <w:rPr>
          <w:i/>
        </w:rPr>
        <w:t xml:space="preserve"> Practical Gardening for Pleasure and Profit</w:t>
      </w:r>
      <w:r>
        <w:rPr>
          <w:i/>
        </w:rPr>
        <w:t>:</w:t>
      </w:r>
      <w:r w:rsidRPr="004D34C8">
        <w:rPr>
          <w:i/>
          <w:iCs/>
        </w:rPr>
        <w:t xml:space="preserve"> vol 11 vegetables and their cultivation </w:t>
      </w:r>
      <w:r w:rsidRPr="00E4692C">
        <w:t>(London, circa 1920)</w:t>
      </w:r>
      <w:r>
        <w:t>,</w:t>
      </w:r>
      <w:r w:rsidRPr="00E4692C">
        <w:t xml:space="preserve"> </w:t>
      </w:r>
      <w:bookmarkEnd w:id="1"/>
      <w:r w:rsidRPr="00E4692C">
        <w:t xml:space="preserve">p. 39. See also </w:t>
      </w:r>
      <w:proofErr w:type="spellStart"/>
      <w:r w:rsidRPr="00E4692C">
        <w:t>Burchardt</w:t>
      </w:r>
      <w:proofErr w:type="spellEnd"/>
      <w:r>
        <w:t>,</w:t>
      </w:r>
      <w:r w:rsidRPr="00E4692C">
        <w:t xml:space="preserve"> </w:t>
      </w:r>
      <w:r w:rsidRPr="00E4692C">
        <w:rPr>
          <w:i/>
        </w:rPr>
        <w:t>Allotments</w:t>
      </w:r>
      <w:r>
        <w:rPr>
          <w:i/>
        </w:rPr>
        <w:t>,</w:t>
      </w:r>
      <w:r w:rsidRPr="00E4692C">
        <w:t xml:space="preserve"> p. 152. </w:t>
      </w:r>
    </w:p>
  </w:footnote>
  <w:footnote w:id="6">
    <w:p w14:paraId="5E8DC8E3" w14:textId="77777777" w:rsidR="006B5E87" w:rsidRPr="00E4692C" w:rsidRDefault="006B5E87" w:rsidP="006B5E87">
      <w:pPr>
        <w:pStyle w:val="Thesis-ReferenceFootnote"/>
      </w:pPr>
      <w:r w:rsidRPr="00E4692C">
        <w:rPr>
          <w:rStyle w:val="FootnoteReference"/>
        </w:rPr>
        <w:footnoteRef/>
      </w:r>
      <w:r w:rsidRPr="00E4692C">
        <w:rPr>
          <w:i/>
        </w:rPr>
        <w:t xml:space="preserve"> </w:t>
      </w:r>
      <w:r w:rsidRPr="00E4692C">
        <w:t>Wright, vol 1</w:t>
      </w:r>
      <w:r>
        <w:t>,</w:t>
      </w:r>
      <w:r w:rsidRPr="00E4692C">
        <w:t xml:space="preserve"> p. 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E87"/>
    <w:rsid w:val="00537551"/>
    <w:rsid w:val="00660E06"/>
    <w:rsid w:val="006B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FB41"/>
  <w15:chartTrackingRefBased/>
  <w15:docId w15:val="{F7A1BB52-ABC3-40A5-8E4B-B5ECECE3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E87"/>
    <w:pPr>
      <w:tabs>
        <w:tab w:val="right" w:pos="8640"/>
      </w:tabs>
      <w:spacing w:line="240" w:lineRule="auto"/>
      <w:jc w:val="both"/>
    </w:pPr>
    <w:rPr>
      <w:rFonts w:ascii="Garamond" w:eastAsia="Times New Roman" w:hAnsi="Garamond" w:cs="Times New Roman"/>
      <w:spacing w:val="-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rsid w:val="006B5E87"/>
    <w:rPr>
      <w:vertAlign w:val="superscript"/>
    </w:rPr>
  </w:style>
  <w:style w:type="table" w:styleId="TableGrid">
    <w:name w:val="Table Grid"/>
    <w:basedOn w:val="TableNormal"/>
    <w:uiPriority w:val="59"/>
    <w:rsid w:val="006B5E87"/>
    <w:pPr>
      <w:spacing w:line="240" w:lineRule="auto"/>
      <w:ind w:firstLine="720"/>
    </w:pPr>
    <w:rPr>
      <w:rFonts w:asciiTheme="minorHAnsi" w:eastAsiaTheme="minorEastAsia" w:hAnsiTheme="minorHAnsi" w:cstheme="minorBid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sis-ReferenceFootnote">
    <w:name w:val="Thesis - Reference Footnote"/>
    <w:basedOn w:val="FootnoteText"/>
    <w:link w:val="Thesis-ReferenceFootnoteChar"/>
    <w:qFormat/>
    <w:rsid w:val="006B5E87"/>
    <w:pPr>
      <w:tabs>
        <w:tab w:val="left" w:pos="284"/>
      </w:tabs>
      <w:spacing w:after="120" w:line="220" w:lineRule="exact"/>
      <w:ind w:left="284" w:hanging="284"/>
      <w:jc w:val="left"/>
    </w:pPr>
    <w:rPr>
      <w:rFonts w:asciiTheme="minorHAnsi" w:hAnsiTheme="minorHAnsi" w:cstheme="minorHAnsi"/>
    </w:rPr>
  </w:style>
  <w:style w:type="paragraph" w:customStyle="1" w:styleId="Thesis-Figure">
    <w:name w:val="Thesis - Figure"/>
    <w:basedOn w:val="Normal"/>
    <w:link w:val="Thesis-FigureChar"/>
    <w:qFormat/>
    <w:rsid w:val="006B5E87"/>
    <w:pPr>
      <w:tabs>
        <w:tab w:val="clear" w:pos="8640"/>
      </w:tabs>
      <w:spacing w:after="200" w:line="360" w:lineRule="auto"/>
      <w:jc w:val="left"/>
    </w:pPr>
    <w:rPr>
      <w:rFonts w:ascii="Arial" w:eastAsia="Calibri" w:hAnsi="Arial" w:cs="Arial"/>
      <w:spacing w:val="0"/>
      <w:szCs w:val="24"/>
      <w:lang w:val="en-GB"/>
    </w:rPr>
  </w:style>
  <w:style w:type="character" w:customStyle="1" w:styleId="Thesis-ReferenceFootnoteChar">
    <w:name w:val="Thesis - Reference Footnote Char"/>
    <w:basedOn w:val="FootnoteTextChar"/>
    <w:link w:val="Thesis-ReferenceFootnote"/>
    <w:rsid w:val="006B5E87"/>
    <w:rPr>
      <w:rFonts w:asciiTheme="minorHAnsi" w:eastAsia="Times New Roman" w:hAnsiTheme="minorHAnsi" w:cstheme="minorHAnsi"/>
      <w:spacing w:val="-2"/>
      <w:sz w:val="20"/>
      <w:szCs w:val="20"/>
      <w:lang w:val="en-US"/>
    </w:rPr>
  </w:style>
  <w:style w:type="paragraph" w:customStyle="1" w:styleId="Thesis-Table">
    <w:name w:val="Thesis - Table"/>
    <w:basedOn w:val="Normal"/>
    <w:link w:val="Thesis-TableChar"/>
    <w:qFormat/>
    <w:rsid w:val="006B5E87"/>
    <w:pPr>
      <w:tabs>
        <w:tab w:val="clear" w:pos="8640"/>
      </w:tabs>
      <w:spacing w:line="276" w:lineRule="auto"/>
    </w:pPr>
    <w:rPr>
      <w:rFonts w:ascii="Arial" w:eastAsia="Calibri" w:hAnsi="Arial" w:cs="Arial"/>
      <w:spacing w:val="0"/>
      <w:szCs w:val="24"/>
      <w:lang w:val="en-GB"/>
    </w:rPr>
  </w:style>
  <w:style w:type="character" w:customStyle="1" w:styleId="Thesis-FigureChar">
    <w:name w:val="Thesis - Figure Char"/>
    <w:basedOn w:val="DefaultParagraphFont"/>
    <w:link w:val="Thesis-Figure"/>
    <w:rsid w:val="006B5E87"/>
    <w:rPr>
      <w:rFonts w:eastAsia="Calibri"/>
    </w:rPr>
  </w:style>
  <w:style w:type="character" w:customStyle="1" w:styleId="Thesis-TableChar">
    <w:name w:val="Thesis - Table Char"/>
    <w:basedOn w:val="DefaultParagraphFont"/>
    <w:link w:val="Thesis-Table"/>
    <w:rsid w:val="006B5E87"/>
    <w:rPr>
      <w:rFonts w:eastAsia="Calibri"/>
    </w:rPr>
  </w:style>
  <w:style w:type="paragraph" w:styleId="FootnoteText">
    <w:name w:val="footnote text"/>
    <w:basedOn w:val="Normal"/>
    <w:link w:val="FootnoteTextChar"/>
    <w:uiPriority w:val="99"/>
    <w:semiHidden/>
    <w:unhideWhenUsed/>
    <w:rsid w:val="006B5E87"/>
    <w:rPr>
      <w:sz w:val="20"/>
    </w:rPr>
  </w:style>
  <w:style w:type="character" w:customStyle="1" w:styleId="FootnoteTextChar">
    <w:name w:val="Footnote Text Char"/>
    <w:basedOn w:val="DefaultParagraphFont"/>
    <w:link w:val="FootnoteText"/>
    <w:uiPriority w:val="99"/>
    <w:semiHidden/>
    <w:rsid w:val="006B5E87"/>
    <w:rPr>
      <w:rFonts w:ascii="Garamond" w:eastAsia="Times New Roman" w:hAnsi="Garamond" w:cs="Times New Roman"/>
      <w:spacing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 Baker</dc:creator>
  <cp:keywords/>
  <dc:description/>
  <cp:lastModifiedBy>Zena Baker</cp:lastModifiedBy>
  <cp:revision>1</cp:revision>
  <dcterms:created xsi:type="dcterms:W3CDTF">2021-06-28T11:30:00Z</dcterms:created>
  <dcterms:modified xsi:type="dcterms:W3CDTF">2021-06-28T11:38:00Z</dcterms:modified>
</cp:coreProperties>
</file>